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5D0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总体评价：</w:t>
      </w:r>
    </w:p>
    <w:p w14:paraId="2A2A526B">
      <w:pPr>
        <w:rPr>
          <w:rFonts w:hint="eastAsia"/>
        </w:rPr>
      </w:pPr>
      <w:r>
        <w:rPr>
          <w:rFonts w:hint="eastAsia"/>
          <w:lang w:val="en-US" w:eastAsia="zh-CN"/>
        </w:rPr>
        <w:t>本</w:t>
      </w:r>
      <w:r>
        <w:rPr>
          <w:rFonts w:hint="eastAsia"/>
        </w:rPr>
        <w:t>文具有问题意识，研究目标清晰，文献资料基础比较扎实；观点明确，内容完整，论证有层次和条理，制度建言具有参考价值。</w:t>
      </w:r>
    </w:p>
    <w:p w14:paraId="31EC2181">
      <w:pPr>
        <w:rPr>
          <w:rFonts w:hint="eastAsia"/>
          <w:lang w:val="en-US" w:eastAsia="zh-CN"/>
        </w:rPr>
      </w:pPr>
    </w:p>
    <w:p w14:paraId="2F41FD00">
      <w:pPr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修改</w:t>
      </w:r>
      <w:r>
        <w:rPr>
          <w:rFonts w:hint="eastAsia"/>
        </w:rPr>
        <w:t>建议</w:t>
      </w:r>
    </w:p>
    <w:p w14:paraId="1B8079B2">
      <w:r>
        <w:rPr>
          <w:rFonts w:hint="eastAsia"/>
        </w:rPr>
        <w:t>（1）本文所使用的并非全部是法律解释方法，还有比较法方法。建议在摘要、问题的提出等处加以补充说明。（2）论文有较多注释的内容是法律条款的规定。建议如有可能，将有些条款规定的内容放入正文；即使不能放入正文中，注释中指明法律规定的名称和条款序号即可，而不必引注条款内容。读者如想进一步了解，自可以去查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C7B0A"/>
    <w:rsid w:val="FA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2025-10-24T14:45:00Z</dcterms:created>
  <dc:creator>邢彤晖</dc:creator>
  <cp:lastModifiedBy>邢彤晖</cp:lastModifiedBy>
  <dcterms:modified xsi:type="dcterms:W3CDTF">2025-10-24T14:47:31Z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A1EF87BD00C011739620FB68ACA72B1B_41</vt:lpwstr>
  </property>
</Properties>
</file>